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591F0" w14:textId="74DAC725" w:rsidR="00775307" w:rsidRDefault="00775307" w:rsidP="00775307">
      <w:pPr>
        <w:jc w:val="center"/>
        <w:rPr>
          <w:rFonts w:ascii="Eras Bold ITC" w:hAnsi="Eras Bold ITC" w:cs="Arial"/>
          <w:sz w:val="32"/>
          <w:szCs w:val="32"/>
        </w:rPr>
      </w:pPr>
      <w:bookmarkStart w:id="0" w:name="_GoBack"/>
      <w:bookmarkEnd w:id="0"/>
      <w:r>
        <w:rPr>
          <w:rFonts w:ascii="Eras Bold ITC" w:hAnsi="Eras Bold ITC" w:cs="Arial"/>
          <w:sz w:val="32"/>
          <w:szCs w:val="32"/>
        </w:rPr>
        <w:t xml:space="preserve">Blueberry Resource List for the </w:t>
      </w:r>
      <w:r w:rsidR="00DF30E9">
        <w:rPr>
          <w:rFonts w:ascii="Eras Bold ITC" w:hAnsi="Eras Bold ITC" w:cs="Arial"/>
          <w:sz w:val="32"/>
          <w:szCs w:val="32"/>
        </w:rPr>
        <w:t>Lincoln County Master Gardener Roundtable Series</w:t>
      </w:r>
    </w:p>
    <w:p w14:paraId="1DFC690D" w14:textId="3679CD84" w:rsidR="00775307" w:rsidRDefault="00775307" w:rsidP="00775307">
      <w:pPr>
        <w:jc w:val="center"/>
        <w:rPr>
          <w:rFonts w:ascii="Eras Bold ITC" w:hAnsi="Eras Bold ITC" w:cs="Arial"/>
          <w:sz w:val="32"/>
          <w:szCs w:val="32"/>
        </w:rPr>
      </w:pPr>
      <w:r>
        <w:rPr>
          <w:rFonts w:ascii="Eras Bold ITC" w:hAnsi="Eras Bold ITC" w:cs="Arial"/>
          <w:sz w:val="32"/>
          <w:szCs w:val="32"/>
        </w:rPr>
        <w:t>Gibson Farms Blueberries</w:t>
      </w:r>
      <w:r w:rsidR="00DF30E9">
        <w:rPr>
          <w:rFonts w:ascii="Eras Bold ITC" w:hAnsi="Eras Bold ITC" w:cs="Arial"/>
          <w:sz w:val="32"/>
          <w:szCs w:val="32"/>
        </w:rPr>
        <w:t>, Siletz</w:t>
      </w:r>
      <w:r>
        <w:rPr>
          <w:rFonts w:ascii="Eras Bold ITC" w:hAnsi="Eras Bold ITC" w:cs="Arial"/>
          <w:sz w:val="32"/>
          <w:szCs w:val="32"/>
        </w:rPr>
        <w:t xml:space="preserve"> </w:t>
      </w:r>
    </w:p>
    <w:p w14:paraId="7756C86C" w14:textId="44154FE9" w:rsidR="00A96BF1" w:rsidRDefault="00DF30E9" w:rsidP="00775307">
      <w:pPr>
        <w:jc w:val="center"/>
        <w:rPr>
          <w:rFonts w:ascii="Eras Bold ITC" w:hAnsi="Eras Bold ITC" w:cs="Arial"/>
          <w:sz w:val="32"/>
          <w:szCs w:val="32"/>
        </w:rPr>
      </w:pPr>
      <w:r>
        <w:rPr>
          <w:rFonts w:ascii="Eras Bold ITC" w:hAnsi="Eras Bold ITC" w:cs="Arial"/>
          <w:sz w:val="32"/>
          <w:szCs w:val="32"/>
        </w:rPr>
        <w:t>Fall 2019</w:t>
      </w:r>
    </w:p>
    <w:p w14:paraId="5753D9FC" w14:textId="77777777" w:rsidR="007B7104" w:rsidRDefault="007B7104" w:rsidP="00775307">
      <w:pPr>
        <w:rPr>
          <w:rFonts w:ascii="Eras Demi ITC" w:hAnsi="Eras Demi ITC" w:cs="Arial"/>
          <w:sz w:val="28"/>
          <w:szCs w:val="28"/>
          <w:u w:val="single"/>
        </w:rPr>
      </w:pPr>
    </w:p>
    <w:p w14:paraId="46DE7109" w14:textId="77777777" w:rsidR="00775307" w:rsidRDefault="00775307" w:rsidP="00775307">
      <w:pPr>
        <w:rPr>
          <w:rFonts w:ascii="Eras Demi ITC" w:hAnsi="Eras Demi ITC" w:cs="Arial"/>
          <w:sz w:val="28"/>
          <w:szCs w:val="28"/>
        </w:rPr>
      </w:pPr>
      <w:r w:rsidRPr="008C6595">
        <w:rPr>
          <w:rFonts w:ascii="Eras Demi ITC" w:hAnsi="Eras Demi ITC" w:cs="Arial"/>
          <w:sz w:val="28"/>
          <w:szCs w:val="28"/>
          <w:u w:val="single"/>
        </w:rPr>
        <w:t>General</w:t>
      </w:r>
      <w:r>
        <w:rPr>
          <w:rFonts w:ascii="Eras Demi ITC" w:hAnsi="Eras Demi ITC" w:cs="Arial"/>
          <w:sz w:val="28"/>
          <w:szCs w:val="28"/>
        </w:rPr>
        <w:t xml:space="preserve">: </w:t>
      </w:r>
    </w:p>
    <w:p w14:paraId="5EA353F7" w14:textId="77777777" w:rsidR="00775307" w:rsidRDefault="00775307" w:rsidP="00775307">
      <w:pPr>
        <w:ind w:left="720"/>
        <w:contextualSpacing/>
        <w:rPr>
          <w:rFonts w:ascii="Eras Demi ITC" w:hAnsi="Eras Demi ITC" w:cs="Arial"/>
          <w:sz w:val="28"/>
          <w:szCs w:val="28"/>
        </w:rPr>
      </w:pPr>
      <w:r>
        <w:rPr>
          <w:rFonts w:ascii="Eras Demi ITC" w:hAnsi="Eras Demi ITC" w:cs="Arial"/>
          <w:sz w:val="28"/>
          <w:szCs w:val="28"/>
        </w:rPr>
        <w:t xml:space="preserve">“Growing Blueberries in Your Home Garden, EC 1304” – B. </w:t>
      </w:r>
      <w:proofErr w:type="spellStart"/>
      <w:r>
        <w:rPr>
          <w:rFonts w:ascii="Eras Demi ITC" w:hAnsi="Eras Demi ITC" w:cs="Arial"/>
          <w:sz w:val="28"/>
          <w:szCs w:val="28"/>
        </w:rPr>
        <w:t>Strik</w:t>
      </w:r>
      <w:proofErr w:type="spellEnd"/>
      <w:r>
        <w:rPr>
          <w:rFonts w:ascii="Eras Demi ITC" w:hAnsi="Eras Demi ITC" w:cs="Arial"/>
          <w:sz w:val="28"/>
          <w:szCs w:val="28"/>
        </w:rPr>
        <w:t xml:space="preserve">, </w:t>
      </w:r>
    </w:p>
    <w:p w14:paraId="3AD90193" w14:textId="77777777" w:rsidR="008C6595" w:rsidRDefault="00775307" w:rsidP="00775307">
      <w:pPr>
        <w:ind w:left="1440"/>
        <w:contextualSpacing/>
        <w:rPr>
          <w:rFonts w:ascii="Eras Demi ITC" w:hAnsi="Eras Demi ITC" w:cs="Arial"/>
          <w:sz w:val="28"/>
          <w:szCs w:val="28"/>
        </w:rPr>
      </w:pPr>
      <w:r>
        <w:rPr>
          <w:rFonts w:ascii="Eras Demi ITC" w:hAnsi="Eras Demi ITC" w:cs="Arial"/>
          <w:sz w:val="28"/>
          <w:szCs w:val="28"/>
        </w:rPr>
        <w:t>OSU.</w:t>
      </w:r>
      <w:r w:rsidR="008C6595">
        <w:rPr>
          <w:rFonts w:ascii="Eras Demi ITC" w:hAnsi="Eras Demi ITC" w:cs="Arial"/>
          <w:sz w:val="28"/>
          <w:szCs w:val="28"/>
        </w:rPr>
        <w:t xml:space="preserve"> 2008.</w:t>
      </w:r>
      <w:r>
        <w:rPr>
          <w:rFonts w:ascii="Eras Demi ITC" w:hAnsi="Eras Demi ITC" w:cs="Arial"/>
          <w:sz w:val="28"/>
          <w:szCs w:val="28"/>
        </w:rPr>
        <w:t xml:space="preserve">  Compact overview of everything from site selection harvesting.</w:t>
      </w:r>
    </w:p>
    <w:p w14:paraId="321E2BE3" w14:textId="77777777" w:rsidR="008C6595" w:rsidRDefault="00B7569A" w:rsidP="00775307">
      <w:pPr>
        <w:ind w:left="1440"/>
        <w:contextualSpacing/>
        <w:rPr>
          <w:rFonts w:ascii="Eras Demi ITC" w:hAnsi="Eras Demi ITC" w:cs="Arial"/>
          <w:sz w:val="28"/>
          <w:szCs w:val="28"/>
        </w:rPr>
      </w:pPr>
      <w:hyperlink r:id="rId4" w:history="1">
        <w:r w:rsidR="008C6595" w:rsidRPr="00FB6474">
          <w:rPr>
            <w:rStyle w:val="Hyperlink"/>
            <w:rFonts w:ascii="Eras Demi ITC" w:hAnsi="Eras Demi ITC" w:cs="Arial"/>
            <w:sz w:val="28"/>
            <w:szCs w:val="28"/>
          </w:rPr>
          <w:t>https://catalog.extension.oregonstate.edu/ec1304</w:t>
        </w:r>
      </w:hyperlink>
    </w:p>
    <w:p w14:paraId="14E1F3EA" w14:textId="77777777" w:rsidR="008C6595" w:rsidRDefault="008C6595" w:rsidP="008C6595">
      <w:pPr>
        <w:contextualSpacing/>
        <w:rPr>
          <w:rFonts w:ascii="Eras Demi ITC" w:hAnsi="Eras Demi ITC" w:cs="Arial"/>
          <w:sz w:val="28"/>
          <w:szCs w:val="28"/>
        </w:rPr>
      </w:pPr>
    </w:p>
    <w:p w14:paraId="3B57147A" w14:textId="77777777" w:rsidR="008C6595" w:rsidRDefault="008C6595" w:rsidP="008C6595">
      <w:pPr>
        <w:contextualSpacing/>
        <w:rPr>
          <w:rFonts w:ascii="Eras Demi ITC" w:hAnsi="Eras Demi ITC" w:cs="Arial"/>
          <w:sz w:val="28"/>
          <w:szCs w:val="28"/>
        </w:rPr>
      </w:pPr>
      <w:r w:rsidRPr="008C6595">
        <w:rPr>
          <w:rFonts w:ascii="Eras Demi ITC" w:hAnsi="Eras Demi ITC" w:cs="Arial"/>
          <w:sz w:val="28"/>
          <w:szCs w:val="28"/>
          <w:u w:val="single"/>
        </w:rPr>
        <w:t>Establishment</w:t>
      </w:r>
      <w:r>
        <w:rPr>
          <w:rFonts w:ascii="Eras Demi ITC" w:hAnsi="Eras Demi ITC" w:cs="Arial"/>
          <w:sz w:val="28"/>
          <w:szCs w:val="28"/>
        </w:rPr>
        <w:t>:</w:t>
      </w:r>
    </w:p>
    <w:p w14:paraId="16B95634" w14:textId="77777777" w:rsidR="008C6595" w:rsidRDefault="008C6595" w:rsidP="008C6595">
      <w:pPr>
        <w:contextualSpacing/>
        <w:rPr>
          <w:rFonts w:ascii="Eras Demi ITC" w:hAnsi="Eras Demi ITC" w:cs="Arial"/>
          <w:sz w:val="28"/>
          <w:szCs w:val="28"/>
        </w:rPr>
      </w:pPr>
    </w:p>
    <w:p w14:paraId="5F2CC01C" w14:textId="77777777" w:rsidR="008C6595" w:rsidRDefault="008C6595" w:rsidP="008C6595">
      <w:pPr>
        <w:contextualSpacing/>
        <w:rPr>
          <w:rFonts w:ascii="Eras Demi ITC" w:hAnsi="Eras Demi ITC" w:cs="Arial"/>
          <w:sz w:val="28"/>
          <w:szCs w:val="28"/>
        </w:rPr>
      </w:pPr>
      <w:r>
        <w:rPr>
          <w:rFonts w:ascii="Eras Demi ITC" w:hAnsi="Eras Demi ITC" w:cs="Arial"/>
          <w:sz w:val="28"/>
          <w:szCs w:val="28"/>
        </w:rPr>
        <w:tab/>
        <w:t xml:space="preserve">“Blueberry Cultivars for the Pacific Northwest, PNW 656” – Finn, </w:t>
      </w:r>
    </w:p>
    <w:p w14:paraId="52D2ED5A" w14:textId="77777777" w:rsidR="008C6595" w:rsidRDefault="002A749D" w:rsidP="008C6595">
      <w:pPr>
        <w:ind w:left="1440"/>
        <w:contextualSpacing/>
        <w:rPr>
          <w:rFonts w:ascii="Eras Demi ITC" w:hAnsi="Eras Demi ITC" w:cs="Arial"/>
          <w:sz w:val="28"/>
          <w:szCs w:val="28"/>
        </w:rPr>
      </w:pPr>
      <w:r>
        <w:rPr>
          <w:rFonts w:ascii="Eras Demi ITC" w:hAnsi="Eras Demi ITC" w:cs="Arial"/>
          <w:sz w:val="28"/>
          <w:szCs w:val="28"/>
        </w:rPr>
        <w:t>et al</w:t>
      </w:r>
      <w:r w:rsidR="008C6595">
        <w:rPr>
          <w:rFonts w:ascii="Eras Demi ITC" w:hAnsi="Eras Demi ITC" w:cs="Arial"/>
          <w:sz w:val="28"/>
          <w:szCs w:val="28"/>
        </w:rPr>
        <w:t>. 2014.  Discusses the characteristics and suitability of most blueberry varieties that you would encounter in local garden stores or mail-order nurseries.  Varieties that they recommend for small u-pick farms and home gardens are indicated.</w:t>
      </w:r>
    </w:p>
    <w:p w14:paraId="00E88737" w14:textId="77777777" w:rsidR="008C6595" w:rsidRDefault="00B7569A" w:rsidP="008C6595">
      <w:pPr>
        <w:ind w:left="1440"/>
        <w:contextualSpacing/>
        <w:rPr>
          <w:rFonts w:ascii="Eras Demi ITC" w:hAnsi="Eras Demi ITC" w:cs="Arial"/>
          <w:sz w:val="28"/>
          <w:szCs w:val="28"/>
        </w:rPr>
      </w:pPr>
      <w:hyperlink r:id="rId5" w:history="1">
        <w:r w:rsidR="008C6595" w:rsidRPr="00FB6474">
          <w:rPr>
            <w:rStyle w:val="Hyperlink"/>
            <w:rFonts w:ascii="Eras Demi ITC" w:hAnsi="Eras Demi ITC" w:cs="Arial"/>
            <w:sz w:val="28"/>
            <w:szCs w:val="28"/>
          </w:rPr>
          <w:t>https://catalog.extension.oregonstate.edu/pnw656/html</w:t>
        </w:r>
      </w:hyperlink>
    </w:p>
    <w:p w14:paraId="73980392" w14:textId="77777777" w:rsidR="003254A2" w:rsidRDefault="003254A2" w:rsidP="003254A2">
      <w:pPr>
        <w:contextualSpacing/>
        <w:rPr>
          <w:rFonts w:ascii="Eras Demi ITC" w:hAnsi="Eras Demi ITC" w:cs="Arial"/>
          <w:sz w:val="28"/>
          <w:szCs w:val="28"/>
          <w:u w:val="single"/>
        </w:rPr>
      </w:pPr>
    </w:p>
    <w:p w14:paraId="29CDF9E5" w14:textId="77777777" w:rsidR="003254A2" w:rsidRDefault="003254A2" w:rsidP="003254A2">
      <w:pPr>
        <w:contextualSpacing/>
        <w:rPr>
          <w:rFonts w:ascii="Eras Demi ITC" w:hAnsi="Eras Demi ITC" w:cs="Arial"/>
          <w:sz w:val="28"/>
          <w:szCs w:val="28"/>
        </w:rPr>
      </w:pPr>
      <w:r w:rsidRPr="002A749D">
        <w:rPr>
          <w:rFonts w:ascii="Eras Demi ITC" w:hAnsi="Eras Demi ITC" w:cs="Arial"/>
          <w:sz w:val="28"/>
          <w:szCs w:val="28"/>
          <w:u w:val="single"/>
        </w:rPr>
        <w:t>Nutrient Management</w:t>
      </w:r>
      <w:r>
        <w:rPr>
          <w:rFonts w:ascii="Eras Demi ITC" w:hAnsi="Eras Demi ITC" w:cs="Arial"/>
          <w:sz w:val="28"/>
          <w:szCs w:val="28"/>
        </w:rPr>
        <w:t>:</w:t>
      </w:r>
    </w:p>
    <w:p w14:paraId="5DF87CF6" w14:textId="77777777" w:rsidR="003254A2" w:rsidRDefault="003254A2" w:rsidP="003254A2">
      <w:pPr>
        <w:contextualSpacing/>
        <w:rPr>
          <w:rFonts w:ascii="Eras Demi ITC" w:hAnsi="Eras Demi ITC" w:cs="Arial"/>
          <w:sz w:val="28"/>
          <w:szCs w:val="28"/>
        </w:rPr>
      </w:pPr>
    </w:p>
    <w:p w14:paraId="20DEE11B" w14:textId="77777777" w:rsidR="003254A2" w:rsidRDefault="003254A2" w:rsidP="003254A2">
      <w:pPr>
        <w:contextualSpacing/>
        <w:rPr>
          <w:rFonts w:ascii="Eras Demi ITC" w:hAnsi="Eras Demi ITC" w:cs="Arial"/>
          <w:sz w:val="28"/>
          <w:szCs w:val="28"/>
        </w:rPr>
      </w:pPr>
      <w:r>
        <w:rPr>
          <w:rFonts w:ascii="Eras Demi ITC" w:hAnsi="Eras Demi ITC" w:cs="Arial"/>
          <w:sz w:val="28"/>
          <w:szCs w:val="28"/>
        </w:rPr>
        <w:tab/>
        <w:t xml:space="preserve">“Nutrient Management for Blueberries in Oregon, EM 8918” – </w:t>
      </w:r>
    </w:p>
    <w:p w14:paraId="216E8654" w14:textId="77777777" w:rsidR="003254A2" w:rsidRDefault="003254A2" w:rsidP="003254A2">
      <w:pPr>
        <w:ind w:left="1440"/>
        <w:contextualSpacing/>
        <w:rPr>
          <w:rFonts w:ascii="Eras Demi ITC" w:hAnsi="Eras Demi ITC" w:cs="Arial"/>
          <w:sz w:val="28"/>
          <w:szCs w:val="28"/>
        </w:rPr>
      </w:pPr>
      <w:r>
        <w:rPr>
          <w:rFonts w:ascii="Eras Demi ITC" w:hAnsi="Eras Demi ITC" w:cs="Arial"/>
          <w:sz w:val="28"/>
          <w:szCs w:val="28"/>
        </w:rPr>
        <w:t>Hart, et al. 2006.  Intended for commercial growers, in-depth management principles &amp; methods.</w:t>
      </w:r>
    </w:p>
    <w:p w14:paraId="2823FCDD" w14:textId="77777777" w:rsidR="007B7104" w:rsidRDefault="003254A2" w:rsidP="003254A2">
      <w:pPr>
        <w:contextualSpacing/>
        <w:rPr>
          <w:rFonts w:ascii="Eras Demi ITC" w:hAnsi="Eras Demi ITC" w:cs="Arial"/>
          <w:sz w:val="28"/>
          <w:szCs w:val="28"/>
          <w:u w:val="single"/>
        </w:rPr>
      </w:pPr>
      <w:r>
        <w:rPr>
          <w:rFonts w:ascii="Eras Demi ITC" w:hAnsi="Eras Demi ITC" w:cs="Arial"/>
          <w:sz w:val="28"/>
          <w:szCs w:val="28"/>
        </w:rPr>
        <w:tab/>
      </w:r>
      <w:r>
        <w:rPr>
          <w:rFonts w:ascii="Eras Demi ITC" w:hAnsi="Eras Demi ITC" w:cs="Arial"/>
          <w:sz w:val="28"/>
          <w:szCs w:val="28"/>
        </w:rPr>
        <w:tab/>
      </w:r>
      <w:hyperlink r:id="rId6" w:history="1">
        <w:r w:rsidRPr="00FB6474">
          <w:rPr>
            <w:rStyle w:val="Hyperlink"/>
            <w:rFonts w:ascii="Eras Demi ITC" w:hAnsi="Eras Demi ITC" w:cs="Arial"/>
            <w:sz w:val="28"/>
            <w:szCs w:val="28"/>
          </w:rPr>
          <w:t>https://catalog.extension.oregonstate.edu/em8918</w:t>
        </w:r>
      </w:hyperlink>
    </w:p>
    <w:p w14:paraId="692A1662" w14:textId="77777777" w:rsidR="00DF30E9" w:rsidRDefault="00DF30E9" w:rsidP="007B7104">
      <w:pPr>
        <w:contextualSpacing/>
        <w:rPr>
          <w:rFonts w:ascii="Eras Demi ITC" w:hAnsi="Eras Demi ITC" w:cs="Arial"/>
          <w:sz w:val="28"/>
          <w:szCs w:val="28"/>
          <w:u w:val="single"/>
        </w:rPr>
      </w:pPr>
    </w:p>
    <w:p w14:paraId="07A8748B" w14:textId="6240C09C" w:rsidR="007B7104" w:rsidRDefault="007B7104" w:rsidP="007B7104">
      <w:pPr>
        <w:contextualSpacing/>
        <w:rPr>
          <w:rFonts w:ascii="Eras Demi ITC" w:hAnsi="Eras Demi ITC" w:cs="Arial"/>
          <w:sz w:val="28"/>
          <w:szCs w:val="28"/>
        </w:rPr>
      </w:pPr>
      <w:r w:rsidRPr="008C6595">
        <w:rPr>
          <w:rFonts w:ascii="Eras Demi ITC" w:hAnsi="Eras Demi ITC" w:cs="Arial"/>
          <w:sz w:val="28"/>
          <w:szCs w:val="28"/>
          <w:u w:val="single"/>
        </w:rPr>
        <w:t>Pruning</w:t>
      </w:r>
      <w:r>
        <w:rPr>
          <w:rFonts w:ascii="Eras Demi ITC" w:hAnsi="Eras Demi ITC" w:cs="Arial"/>
          <w:sz w:val="28"/>
          <w:szCs w:val="28"/>
        </w:rPr>
        <w:t>:</w:t>
      </w:r>
    </w:p>
    <w:p w14:paraId="648BAC32" w14:textId="77777777" w:rsidR="007B7104" w:rsidRDefault="007B7104" w:rsidP="007B7104">
      <w:pPr>
        <w:contextualSpacing/>
        <w:rPr>
          <w:rFonts w:ascii="Eras Demi ITC" w:hAnsi="Eras Demi ITC" w:cs="Arial"/>
          <w:sz w:val="28"/>
          <w:szCs w:val="28"/>
        </w:rPr>
      </w:pPr>
    </w:p>
    <w:p w14:paraId="5D59E0BD" w14:textId="77777777" w:rsidR="007B7104" w:rsidRDefault="007B7104" w:rsidP="007B7104">
      <w:pPr>
        <w:contextualSpacing/>
        <w:rPr>
          <w:rFonts w:ascii="Eras Demi ITC" w:hAnsi="Eras Demi ITC" w:cs="Arial"/>
          <w:sz w:val="28"/>
          <w:szCs w:val="28"/>
        </w:rPr>
      </w:pPr>
      <w:r>
        <w:rPr>
          <w:rFonts w:ascii="Eras Demi ITC" w:hAnsi="Eras Demi ITC" w:cs="Arial"/>
          <w:sz w:val="28"/>
          <w:szCs w:val="28"/>
        </w:rPr>
        <w:tab/>
        <w:t xml:space="preserve">“A Grower’s Guide to Pruning Highbush Blueberries., DVD 2” - </w:t>
      </w:r>
    </w:p>
    <w:p w14:paraId="5C0FA60C" w14:textId="77777777" w:rsidR="007B7104" w:rsidRDefault="007B7104" w:rsidP="007B7104">
      <w:pPr>
        <w:ind w:left="1440"/>
        <w:contextualSpacing/>
        <w:rPr>
          <w:rFonts w:ascii="Eras Demi ITC" w:hAnsi="Eras Demi ITC" w:cs="Arial"/>
          <w:sz w:val="28"/>
          <w:szCs w:val="28"/>
        </w:rPr>
      </w:pPr>
      <w:proofErr w:type="spellStart"/>
      <w:r>
        <w:rPr>
          <w:rFonts w:ascii="Eras Demi ITC" w:hAnsi="Eras Demi ITC" w:cs="Arial"/>
          <w:sz w:val="28"/>
          <w:szCs w:val="28"/>
        </w:rPr>
        <w:t>Strik</w:t>
      </w:r>
      <w:proofErr w:type="spellEnd"/>
      <w:r>
        <w:rPr>
          <w:rFonts w:ascii="Eras Demi ITC" w:hAnsi="Eras Demi ITC" w:cs="Arial"/>
          <w:sz w:val="28"/>
          <w:szCs w:val="28"/>
        </w:rPr>
        <w:t xml:space="preserve"> &amp; </w:t>
      </w:r>
      <w:proofErr w:type="spellStart"/>
      <w:r>
        <w:rPr>
          <w:rFonts w:ascii="Eras Demi ITC" w:hAnsi="Eras Demi ITC" w:cs="Arial"/>
          <w:sz w:val="28"/>
          <w:szCs w:val="28"/>
        </w:rPr>
        <w:t>Penhallegon</w:t>
      </w:r>
      <w:proofErr w:type="spellEnd"/>
      <w:r>
        <w:rPr>
          <w:rFonts w:ascii="Eras Demi ITC" w:hAnsi="Eras Demi ITC" w:cs="Arial"/>
          <w:sz w:val="28"/>
          <w:szCs w:val="28"/>
        </w:rPr>
        <w:t xml:space="preserve">. 1990.  Production values are a bit dated, but the principles and methods haven’t changed.  </w:t>
      </w:r>
    </w:p>
    <w:p w14:paraId="5F621012" w14:textId="0C0CF32C" w:rsidR="007B7104" w:rsidRDefault="00B7569A" w:rsidP="007B7104">
      <w:pPr>
        <w:ind w:left="1440"/>
        <w:contextualSpacing/>
        <w:rPr>
          <w:rStyle w:val="Hyperlink"/>
          <w:rFonts w:ascii="Eras Demi ITC" w:hAnsi="Eras Demi ITC" w:cs="Arial"/>
          <w:sz w:val="28"/>
          <w:szCs w:val="28"/>
        </w:rPr>
      </w:pPr>
      <w:hyperlink r:id="rId7" w:history="1">
        <w:r w:rsidR="007B7104" w:rsidRPr="00FB6474">
          <w:rPr>
            <w:rStyle w:val="Hyperlink"/>
            <w:rFonts w:ascii="Eras Demi ITC" w:hAnsi="Eras Demi ITC" w:cs="Arial"/>
            <w:sz w:val="28"/>
            <w:szCs w:val="28"/>
          </w:rPr>
          <w:t>https://catalog.extension.oregonstate.edu/dvd2</w:t>
        </w:r>
      </w:hyperlink>
    </w:p>
    <w:p w14:paraId="094BDD41" w14:textId="26531991" w:rsidR="00172E79" w:rsidRDefault="00DF30E9" w:rsidP="00DF30E9">
      <w:pPr>
        <w:contextualSpacing/>
        <w:rPr>
          <w:rFonts w:ascii="Eras Demi ITC" w:hAnsi="Eras Demi ITC" w:cs="Arial"/>
          <w:sz w:val="28"/>
          <w:szCs w:val="28"/>
        </w:rPr>
      </w:pPr>
      <w:r>
        <w:rPr>
          <w:rFonts w:ascii="Eras Demi ITC" w:hAnsi="Eras Demi ITC" w:cs="Arial"/>
          <w:sz w:val="28"/>
          <w:szCs w:val="28"/>
        </w:rPr>
        <w:lastRenderedPageBreak/>
        <w:t xml:space="preserve">Alternate Link: </w:t>
      </w:r>
      <w:hyperlink r:id="rId8" w:history="1">
        <w:r w:rsidRPr="00EE4545">
          <w:rPr>
            <w:rStyle w:val="Hyperlink"/>
            <w:rFonts w:ascii="Eras Demi ITC" w:hAnsi="Eras Demi ITC" w:cs="Arial"/>
            <w:sz w:val="28"/>
            <w:szCs w:val="28"/>
          </w:rPr>
          <w:t>https://media.oregonstate.edu/media/A+Grower's+Guide+to+Pruning+Highbush+Blueberries/0_05v1qew6</w:t>
        </w:r>
      </w:hyperlink>
    </w:p>
    <w:p w14:paraId="4A50B58F" w14:textId="77777777" w:rsidR="003254A2" w:rsidRDefault="003254A2" w:rsidP="003254A2">
      <w:pPr>
        <w:contextualSpacing/>
        <w:rPr>
          <w:rFonts w:ascii="Eras Demi ITC" w:hAnsi="Eras Demi ITC" w:cs="Arial"/>
          <w:sz w:val="28"/>
          <w:szCs w:val="28"/>
          <w:u w:val="single"/>
        </w:rPr>
      </w:pPr>
    </w:p>
    <w:p w14:paraId="155207F8" w14:textId="77777777" w:rsidR="003254A2" w:rsidRDefault="003254A2" w:rsidP="003254A2">
      <w:pPr>
        <w:contextualSpacing/>
        <w:rPr>
          <w:rFonts w:ascii="Eras Demi ITC" w:hAnsi="Eras Demi ITC" w:cs="Arial"/>
          <w:sz w:val="28"/>
          <w:szCs w:val="28"/>
        </w:rPr>
      </w:pPr>
      <w:r>
        <w:rPr>
          <w:rFonts w:ascii="Eras Demi ITC" w:hAnsi="Eras Demi ITC" w:cs="Arial"/>
          <w:sz w:val="28"/>
          <w:szCs w:val="28"/>
          <w:u w:val="single"/>
        </w:rPr>
        <w:t>Pests and Disease</w:t>
      </w:r>
      <w:r>
        <w:rPr>
          <w:rFonts w:ascii="Eras Demi ITC" w:hAnsi="Eras Demi ITC" w:cs="Arial"/>
          <w:sz w:val="28"/>
          <w:szCs w:val="28"/>
        </w:rPr>
        <w:t>:</w:t>
      </w:r>
    </w:p>
    <w:p w14:paraId="0708607B" w14:textId="77777777" w:rsidR="003254A2" w:rsidRDefault="003254A2" w:rsidP="003254A2">
      <w:pPr>
        <w:contextualSpacing/>
        <w:rPr>
          <w:rFonts w:ascii="Eras Demi ITC" w:hAnsi="Eras Demi ITC" w:cs="Arial"/>
          <w:sz w:val="28"/>
          <w:szCs w:val="28"/>
        </w:rPr>
      </w:pPr>
    </w:p>
    <w:p w14:paraId="676A08AD" w14:textId="77777777" w:rsidR="003254A2" w:rsidRDefault="003254A2" w:rsidP="003254A2">
      <w:pPr>
        <w:contextualSpacing/>
        <w:rPr>
          <w:rFonts w:ascii="Eras Demi ITC" w:hAnsi="Eras Demi ITC" w:cs="Arial"/>
          <w:sz w:val="28"/>
          <w:szCs w:val="28"/>
        </w:rPr>
      </w:pPr>
      <w:r>
        <w:rPr>
          <w:rFonts w:ascii="Eras Demi ITC" w:hAnsi="Eras Demi ITC" w:cs="Arial"/>
          <w:sz w:val="28"/>
          <w:szCs w:val="28"/>
        </w:rPr>
        <w:tab/>
        <w:t xml:space="preserve">“Organic Pest and Disease Management in Home Fruit Trees and </w:t>
      </w:r>
    </w:p>
    <w:p w14:paraId="69DBC550" w14:textId="77777777" w:rsidR="003254A2" w:rsidRDefault="003254A2" w:rsidP="003254A2">
      <w:pPr>
        <w:ind w:left="1440"/>
        <w:contextualSpacing/>
        <w:rPr>
          <w:rFonts w:ascii="Eras Demi ITC" w:hAnsi="Eras Demi ITC" w:cs="Arial"/>
          <w:sz w:val="28"/>
          <w:szCs w:val="28"/>
        </w:rPr>
      </w:pPr>
      <w:r>
        <w:rPr>
          <w:rFonts w:ascii="Eras Demi ITC" w:hAnsi="Eras Demi ITC" w:cs="Arial"/>
          <w:sz w:val="28"/>
          <w:szCs w:val="28"/>
        </w:rPr>
        <w:t>Berry Bushes, EM 066E.”  Brun &amp; Bush, 2013.  Washington State University.  Great photos to aid in diagnosis and management of common pests and diseases in our area.</w:t>
      </w:r>
    </w:p>
    <w:p w14:paraId="2F2D808E" w14:textId="77777777" w:rsidR="003254A2" w:rsidRDefault="00B7569A" w:rsidP="003254A2">
      <w:pPr>
        <w:ind w:left="1440"/>
        <w:contextualSpacing/>
        <w:rPr>
          <w:rFonts w:ascii="Eras Demi ITC" w:hAnsi="Eras Demi ITC" w:cs="Arial"/>
          <w:sz w:val="28"/>
          <w:szCs w:val="28"/>
        </w:rPr>
      </w:pPr>
      <w:hyperlink r:id="rId9" w:history="1">
        <w:r w:rsidR="003254A2" w:rsidRPr="00FB6474">
          <w:rPr>
            <w:rStyle w:val="Hyperlink"/>
            <w:rFonts w:ascii="Eras Demi ITC" w:hAnsi="Eras Demi ITC" w:cs="Arial"/>
            <w:sz w:val="28"/>
            <w:szCs w:val="28"/>
          </w:rPr>
          <w:t>http://cru.cahe.wsu.edu/CEPublications/EM066E/EM066E.pdf</w:t>
        </w:r>
      </w:hyperlink>
    </w:p>
    <w:p w14:paraId="7FA9900A" w14:textId="77777777" w:rsidR="003254A2" w:rsidRDefault="003254A2" w:rsidP="003254A2">
      <w:pPr>
        <w:contextualSpacing/>
        <w:rPr>
          <w:rFonts w:ascii="Eras Demi ITC" w:hAnsi="Eras Demi ITC" w:cs="Arial"/>
          <w:sz w:val="28"/>
          <w:szCs w:val="28"/>
        </w:rPr>
      </w:pPr>
    </w:p>
    <w:p w14:paraId="2707C246" w14:textId="77777777" w:rsidR="003254A2" w:rsidRDefault="003254A2" w:rsidP="003254A2">
      <w:pPr>
        <w:contextualSpacing/>
        <w:rPr>
          <w:rFonts w:ascii="Eras Demi ITC" w:hAnsi="Eras Demi ITC" w:cs="Arial"/>
          <w:sz w:val="28"/>
          <w:szCs w:val="28"/>
        </w:rPr>
      </w:pPr>
      <w:r>
        <w:rPr>
          <w:rFonts w:ascii="Eras Demi ITC" w:hAnsi="Eras Demi ITC" w:cs="Arial"/>
          <w:sz w:val="28"/>
          <w:szCs w:val="28"/>
        </w:rPr>
        <w:tab/>
        <w:t xml:space="preserve">Pacific Northwest Pest Management Handbooks.  Our go-to </w:t>
      </w:r>
    </w:p>
    <w:p w14:paraId="6FB4CDF8" w14:textId="77777777" w:rsidR="003254A2" w:rsidRDefault="003254A2" w:rsidP="003254A2">
      <w:pPr>
        <w:ind w:left="1440"/>
        <w:contextualSpacing/>
        <w:rPr>
          <w:rFonts w:ascii="Eras Demi ITC" w:hAnsi="Eras Demi ITC" w:cs="Arial"/>
          <w:sz w:val="28"/>
          <w:szCs w:val="28"/>
        </w:rPr>
      </w:pPr>
      <w:r>
        <w:rPr>
          <w:rFonts w:ascii="Eras Demi ITC" w:hAnsi="Eras Demi ITC" w:cs="Arial"/>
          <w:sz w:val="28"/>
          <w:szCs w:val="28"/>
        </w:rPr>
        <w:t xml:space="preserve">resource for identifying and managing weeds, fungal pests, insect pests, and viral/bacterial pests.  Type “blueberry” into the appropriate search bar to get a list of common pests/disease profiles.  </w:t>
      </w:r>
    </w:p>
    <w:p w14:paraId="064E9B6F" w14:textId="77777777" w:rsidR="003254A2" w:rsidRDefault="00B7569A" w:rsidP="003254A2">
      <w:pPr>
        <w:ind w:left="1440"/>
        <w:contextualSpacing/>
        <w:rPr>
          <w:rFonts w:ascii="Eras Demi ITC" w:hAnsi="Eras Demi ITC" w:cs="Arial"/>
          <w:sz w:val="28"/>
          <w:szCs w:val="28"/>
        </w:rPr>
      </w:pPr>
      <w:hyperlink r:id="rId10" w:history="1">
        <w:r w:rsidR="003254A2" w:rsidRPr="00FB6474">
          <w:rPr>
            <w:rStyle w:val="Hyperlink"/>
            <w:rFonts w:ascii="Eras Demi ITC" w:hAnsi="Eras Demi ITC" w:cs="Arial"/>
            <w:sz w:val="28"/>
            <w:szCs w:val="28"/>
          </w:rPr>
          <w:t>https://pnwhandbooks.org/</w:t>
        </w:r>
      </w:hyperlink>
    </w:p>
    <w:p w14:paraId="10AD9A03" w14:textId="77777777" w:rsidR="00025F6A" w:rsidRDefault="00025F6A" w:rsidP="00025F6A">
      <w:pPr>
        <w:ind w:left="1440"/>
        <w:contextualSpacing/>
        <w:rPr>
          <w:rFonts w:ascii="Eras Demi ITC" w:hAnsi="Eras Demi ITC" w:cs="Arial"/>
          <w:sz w:val="28"/>
          <w:szCs w:val="28"/>
        </w:rPr>
      </w:pPr>
      <w:r>
        <w:rPr>
          <w:rFonts w:ascii="Eras Demi ITC" w:hAnsi="Eras Demi ITC" w:cs="Arial"/>
          <w:sz w:val="28"/>
          <w:szCs w:val="28"/>
        </w:rPr>
        <w:t xml:space="preserve">    </w:t>
      </w:r>
    </w:p>
    <w:p w14:paraId="6EFA30C4" w14:textId="77777777" w:rsidR="003254A2" w:rsidRDefault="003254A2" w:rsidP="0053768C">
      <w:pPr>
        <w:contextualSpacing/>
        <w:rPr>
          <w:rFonts w:ascii="Eras Demi ITC" w:hAnsi="Eras Demi ITC" w:cs="Arial"/>
          <w:sz w:val="28"/>
          <w:szCs w:val="28"/>
          <w:u w:val="single"/>
        </w:rPr>
      </w:pPr>
    </w:p>
    <w:p w14:paraId="0F2DBA94" w14:textId="77777777" w:rsidR="00E778E2" w:rsidRDefault="0053768C" w:rsidP="0053768C">
      <w:pPr>
        <w:contextualSpacing/>
        <w:rPr>
          <w:rFonts w:ascii="Eras Demi ITC" w:hAnsi="Eras Demi ITC" w:cs="Arial"/>
          <w:sz w:val="28"/>
          <w:szCs w:val="28"/>
          <w:u w:val="single"/>
        </w:rPr>
      </w:pPr>
      <w:r w:rsidRPr="00E778E2">
        <w:rPr>
          <w:rFonts w:ascii="Eras Demi ITC" w:hAnsi="Eras Demi ITC" w:cs="Arial"/>
          <w:sz w:val="28"/>
          <w:szCs w:val="28"/>
          <w:u w:val="single"/>
        </w:rPr>
        <w:t>Organic Production</w:t>
      </w:r>
      <w:r w:rsidR="00E778E2">
        <w:rPr>
          <w:rFonts w:ascii="Eras Demi ITC" w:hAnsi="Eras Demi ITC" w:cs="Arial"/>
          <w:sz w:val="28"/>
          <w:szCs w:val="28"/>
          <w:u w:val="single"/>
        </w:rPr>
        <w:t>:</w:t>
      </w:r>
    </w:p>
    <w:p w14:paraId="685B7E7A" w14:textId="77777777" w:rsidR="00E778E2" w:rsidRDefault="00E778E2" w:rsidP="0053768C">
      <w:pPr>
        <w:contextualSpacing/>
        <w:rPr>
          <w:rFonts w:ascii="Eras Demi ITC" w:hAnsi="Eras Demi ITC" w:cs="Arial"/>
          <w:sz w:val="28"/>
          <w:szCs w:val="28"/>
        </w:rPr>
      </w:pPr>
      <w:r>
        <w:rPr>
          <w:rFonts w:ascii="Eras Demi ITC" w:hAnsi="Eras Demi ITC" w:cs="Arial"/>
          <w:sz w:val="28"/>
          <w:szCs w:val="28"/>
        </w:rPr>
        <w:tab/>
      </w:r>
    </w:p>
    <w:p w14:paraId="19100FCD" w14:textId="77777777" w:rsidR="00E778E2" w:rsidRDefault="00E778E2" w:rsidP="00E778E2">
      <w:pPr>
        <w:ind w:left="720"/>
        <w:contextualSpacing/>
        <w:rPr>
          <w:rFonts w:ascii="Eras Demi ITC" w:hAnsi="Eras Demi ITC" w:cs="Arial"/>
          <w:sz w:val="28"/>
          <w:szCs w:val="28"/>
        </w:rPr>
      </w:pPr>
      <w:r>
        <w:rPr>
          <w:rFonts w:ascii="Eras Demi ITC" w:hAnsi="Eras Demi ITC" w:cs="Arial"/>
          <w:sz w:val="28"/>
          <w:szCs w:val="28"/>
        </w:rPr>
        <w:t xml:space="preserve">“Organic Blueberry Production Webinar,” </w:t>
      </w:r>
      <w:proofErr w:type="spellStart"/>
      <w:r>
        <w:rPr>
          <w:rFonts w:ascii="Eras Demi ITC" w:hAnsi="Eras Demi ITC" w:cs="Arial"/>
          <w:sz w:val="28"/>
          <w:szCs w:val="28"/>
        </w:rPr>
        <w:t>Strik</w:t>
      </w:r>
      <w:proofErr w:type="spellEnd"/>
      <w:r>
        <w:rPr>
          <w:rFonts w:ascii="Eras Demi ITC" w:hAnsi="Eras Demi ITC" w:cs="Arial"/>
          <w:sz w:val="28"/>
          <w:szCs w:val="28"/>
        </w:rPr>
        <w:t xml:space="preserve">, </w:t>
      </w:r>
      <w:proofErr w:type="spellStart"/>
      <w:r>
        <w:rPr>
          <w:rFonts w:ascii="Eras Demi ITC" w:hAnsi="Eras Demi ITC" w:cs="Arial"/>
          <w:sz w:val="28"/>
          <w:szCs w:val="28"/>
        </w:rPr>
        <w:t>Bryla</w:t>
      </w:r>
      <w:proofErr w:type="spellEnd"/>
      <w:r>
        <w:rPr>
          <w:rFonts w:ascii="Eras Demi ITC" w:hAnsi="Eras Demi ITC" w:cs="Arial"/>
          <w:sz w:val="28"/>
          <w:szCs w:val="28"/>
        </w:rPr>
        <w:t xml:space="preserve"> &amp; </w:t>
      </w:r>
      <w:proofErr w:type="spellStart"/>
      <w:r>
        <w:rPr>
          <w:rFonts w:ascii="Eras Demi ITC" w:hAnsi="Eras Demi ITC" w:cs="Arial"/>
          <w:sz w:val="28"/>
          <w:szCs w:val="28"/>
        </w:rPr>
        <w:t>Larco</w:t>
      </w:r>
      <w:proofErr w:type="spellEnd"/>
      <w:r>
        <w:rPr>
          <w:rFonts w:ascii="Eras Demi ITC" w:hAnsi="Eras Demi ITC" w:cs="Arial"/>
          <w:sz w:val="28"/>
          <w:szCs w:val="28"/>
        </w:rPr>
        <w:t xml:space="preserve">.  </w:t>
      </w:r>
    </w:p>
    <w:p w14:paraId="183ADA28" w14:textId="77777777" w:rsidR="00E778E2" w:rsidRDefault="00E778E2" w:rsidP="00E778E2">
      <w:pPr>
        <w:ind w:left="1440"/>
        <w:contextualSpacing/>
        <w:rPr>
          <w:rFonts w:ascii="Eras Demi ITC" w:hAnsi="Eras Demi ITC" w:cs="Arial"/>
          <w:sz w:val="28"/>
          <w:szCs w:val="28"/>
          <w:u w:val="single"/>
        </w:rPr>
      </w:pPr>
      <w:r>
        <w:rPr>
          <w:rFonts w:ascii="Eras Demi ITC" w:hAnsi="Eras Demi ITC" w:cs="Arial"/>
          <w:sz w:val="28"/>
          <w:szCs w:val="28"/>
        </w:rPr>
        <w:t xml:space="preserve">2012.  In-depth and geared toward large-scale commercial production considerations, but has ideas that could be useful for home gardeners.  </w:t>
      </w:r>
      <w:r w:rsidR="002A749D" w:rsidRPr="00E778E2">
        <w:rPr>
          <w:rFonts w:ascii="Eras Demi ITC" w:hAnsi="Eras Demi ITC" w:cs="Arial"/>
          <w:sz w:val="28"/>
          <w:szCs w:val="28"/>
          <w:u w:val="single"/>
        </w:rPr>
        <w:t xml:space="preserve"> </w:t>
      </w:r>
      <w:hyperlink r:id="rId11" w:anchor=".VjP0Civcn3g" w:history="1">
        <w:r w:rsidRPr="00FB6474">
          <w:rPr>
            <w:rStyle w:val="Hyperlink"/>
            <w:rFonts w:ascii="Eras Demi ITC" w:hAnsi="Eras Demi ITC" w:cs="Arial"/>
            <w:sz w:val="28"/>
            <w:szCs w:val="28"/>
          </w:rPr>
          <w:t>http://articles.extension.org/pages/26115/organic-blueberry-production-webinar#.VjP0Civcn3g</w:t>
        </w:r>
      </w:hyperlink>
    </w:p>
    <w:p w14:paraId="24CFEA3A" w14:textId="77777777" w:rsidR="00E778E2" w:rsidRDefault="00E778E2" w:rsidP="00E778E2">
      <w:pPr>
        <w:contextualSpacing/>
        <w:rPr>
          <w:rFonts w:ascii="Eras Demi ITC" w:hAnsi="Eras Demi ITC" w:cs="Arial"/>
          <w:sz w:val="28"/>
          <w:szCs w:val="28"/>
        </w:rPr>
      </w:pPr>
    </w:p>
    <w:p w14:paraId="2A3015F5" w14:textId="34970B5F" w:rsidR="00E778E2" w:rsidRPr="00E778E2" w:rsidRDefault="00E778E2" w:rsidP="0077606F">
      <w:pPr>
        <w:contextualSpacing/>
        <w:rPr>
          <w:rFonts w:ascii="Eras Demi ITC" w:hAnsi="Eras Demi ITC" w:cs="Arial"/>
          <w:sz w:val="28"/>
          <w:szCs w:val="28"/>
        </w:rPr>
      </w:pPr>
      <w:r>
        <w:rPr>
          <w:rFonts w:ascii="Eras Demi ITC" w:hAnsi="Eras Demi ITC" w:cs="Arial"/>
          <w:sz w:val="28"/>
          <w:szCs w:val="28"/>
        </w:rPr>
        <w:tab/>
      </w:r>
    </w:p>
    <w:p w14:paraId="11C73418" w14:textId="77777777" w:rsidR="00401F5F" w:rsidRDefault="00401F5F" w:rsidP="0053768C">
      <w:pPr>
        <w:contextualSpacing/>
        <w:rPr>
          <w:rFonts w:ascii="Eras Demi ITC" w:hAnsi="Eras Demi ITC" w:cs="Arial"/>
          <w:sz w:val="28"/>
          <w:szCs w:val="28"/>
        </w:rPr>
      </w:pPr>
      <w:r>
        <w:rPr>
          <w:rFonts w:ascii="Eras Demi ITC" w:hAnsi="Eras Demi ITC" w:cs="Arial"/>
          <w:sz w:val="28"/>
          <w:szCs w:val="28"/>
        </w:rPr>
        <w:tab/>
      </w:r>
      <w:proofErr w:type="spellStart"/>
      <w:r>
        <w:rPr>
          <w:rFonts w:ascii="Eras Demi ITC" w:hAnsi="Eras Demi ITC" w:cs="Arial"/>
          <w:sz w:val="28"/>
          <w:szCs w:val="28"/>
        </w:rPr>
        <w:t>Plaven</w:t>
      </w:r>
      <w:proofErr w:type="spellEnd"/>
      <w:r>
        <w:rPr>
          <w:rFonts w:ascii="Eras Demi ITC" w:hAnsi="Eras Demi ITC" w:cs="Arial"/>
          <w:sz w:val="28"/>
          <w:szCs w:val="28"/>
        </w:rPr>
        <w:t xml:space="preserve">, George.  “Research Shows how Organic Blueberries can </w:t>
      </w:r>
    </w:p>
    <w:p w14:paraId="22263943" w14:textId="77777777" w:rsidR="00401F5F" w:rsidRDefault="00401F5F" w:rsidP="00401F5F">
      <w:pPr>
        <w:ind w:left="1440"/>
        <w:contextualSpacing/>
        <w:rPr>
          <w:rFonts w:ascii="Eras Demi ITC" w:hAnsi="Eras Demi ITC" w:cs="Arial"/>
          <w:sz w:val="28"/>
          <w:szCs w:val="28"/>
        </w:rPr>
      </w:pPr>
      <w:r>
        <w:rPr>
          <w:rFonts w:ascii="Eras Demi ITC" w:hAnsi="Eras Demi ITC" w:cs="Arial"/>
          <w:sz w:val="28"/>
          <w:szCs w:val="28"/>
        </w:rPr>
        <w:t xml:space="preserve">Compete,” </w:t>
      </w:r>
      <w:r>
        <w:rPr>
          <w:rFonts w:ascii="Eras Demi ITC" w:hAnsi="Eras Demi ITC" w:cs="Arial"/>
          <w:i/>
          <w:sz w:val="28"/>
          <w:szCs w:val="28"/>
        </w:rPr>
        <w:t>Capital Press</w:t>
      </w:r>
      <w:r>
        <w:rPr>
          <w:rFonts w:ascii="Eras Demi ITC" w:hAnsi="Eras Demi ITC" w:cs="Arial"/>
          <w:sz w:val="28"/>
          <w:szCs w:val="28"/>
        </w:rPr>
        <w:t xml:space="preserve">, January 3, 2018.  Succinct summary of research conclusions on mulching systems and organic fertilizer options.  </w:t>
      </w:r>
    </w:p>
    <w:p w14:paraId="2F6F9030" w14:textId="77777777" w:rsidR="00401F5F" w:rsidRDefault="00B7569A" w:rsidP="00401F5F">
      <w:pPr>
        <w:ind w:left="1440"/>
        <w:contextualSpacing/>
        <w:rPr>
          <w:rFonts w:ascii="Eras Demi ITC" w:hAnsi="Eras Demi ITC" w:cs="Arial"/>
          <w:sz w:val="28"/>
          <w:szCs w:val="28"/>
        </w:rPr>
      </w:pPr>
      <w:hyperlink r:id="rId12" w:history="1">
        <w:r w:rsidR="00401F5F" w:rsidRPr="00FB6474">
          <w:rPr>
            <w:rStyle w:val="Hyperlink"/>
            <w:rFonts w:ascii="Eras Demi ITC" w:hAnsi="Eras Demi ITC" w:cs="Arial"/>
            <w:sz w:val="28"/>
            <w:szCs w:val="28"/>
          </w:rPr>
          <w:t>http://www.capitalpress.com/Organic/20180103/research-shows-how-organic-blueberries-can-compete</w:t>
        </w:r>
      </w:hyperlink>
    </w:p>
    <w:p w14:paraId="23375EBB" w14:textId="77777777" w:rsidR="00146498" w:rsidRDefault="00383E40" w:rsidP="0014649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Blueberry </w:t>
      </w:r>
      <w:r w:rsidR="00146498">
        <w:rPr>
          <w:rFonts w:ascii="Times New Roman" w:hAnsi="Times New Roman" w:cs="Times New Roman"/>
          <w:sz w:val="36"/>
          <w:szCs w:val="36"/>
        </w:rPr>
        <w:t>Soil Nutrient &amp; Fertilization Guidelines</w:t>
      </w:r>
    </w:p>
    <w:p w14:paraId="1E3A0434" w14:textId="77777777" w:rsidR="00146498" w:rsidRDefault="00146498" w:rsidP="0014649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DC2BC34" w14:textId="7250BDBD" w:rsidR="001D7806" w:rsidRDefault="00146498" w:rsidP="001D7806">
      <w:pPr>
        <w:contextualSpacing/>
        <w:rPr>
          <w:rFonts w:ascii="Times New Roman" w:hAnsi="Times New Roman" w:cs="Times New Roman"/>
          <w:sz w:val="28"/>
          <w:szCs w:val="28"/>
        </w:rPr>
      </w:pPr>
      <w:r w:rsidRPr="00E05A6D">
        <w:rPr>
          <w:rFonts w:ascii="Times New Roman" w:hAnsi="Times New Roman" w:cs="Times New Roman"/>
          <w:sz w:val="28"/>
          <w:szCs w:val="28"/>
          <w:u w:val="single"/>
        </w:rPr>
        <w:t>Soil PH: 4.5-5.5</w:t>
      </w:r>
      <w:r w:rsidR="0078127A">
        <w:rPr>
          <w:rFonts w:ascii="Times New Roman" w:hAnsi="Times New Roman" w:cs="Times New Roman"/>
          <w:sz w:val="28"/>
          <w:szCs w:val="28"/>
        </w:rPr>
        <w:t xml:space="preserve">.  </w:t>
      </w:r>
      <w:r w:rsidR="00383E40">
        <w:rPr>
          <w:rFonts w:ascii="Times New Roman" w:hAnsi="Times New Roman" w:cs="Times New Roman"/>
          <w:sz w:val="28"/>
          <w:szCs w:val="28"/>
        </w:rPr>
        <w:t xml:space="preserve">Soil </w:t>
      </w:r>
      <w:r w:rsidR="001D7806">
        <w:rPr>
          <w:rFonts w:ascii="Times New Roman" w:hAnsi="Times New Roman" w:cs="Times New Roman"/>
          <w:sz w:val="28"/>
          <w:szCs w:val="28"/>
        </w:rPr>
        <w:t>p</w:t>
      </w:r>
      <w:r w:rsidR="00383E40">
        <w:rPr>
          <w:rFonts w:ascii="Times New Roman" w:hAnsi="Times New Roman" w:cs="Times New Roman"/>
          <w:sz w:val="28"/>
          <w:szCs w:val="28"/>
        </w:rPr>
        <w:t xml:space="preserve">H influences nitrogen availability.  </w:t>
      </w:r>
      <w:r w:rsidR="001D7806">
        <w:rPr>
          <w:rFonts w:ascii="Times New Roman" w:hAnsi="Times New Roman" w:cs="Times New Roman"/>
          <w:sz w:val="28"/>
          <w:szCs w:val="28"/>
        </w:rPr>
        <w:t xml:space="preserve">Incorporate </w:t>
      </w:r>
      <w:r w:rsidR="0078127A">
        <w:rPr>
          <w:rFonts w:ascii="Times New Roman" w:hAnsi="Times New Roman" w:cs="Times New Roman"/>
          <w:sz w:val="28"/>
          <w:szCs w:val="28"/>
        </w:rPr>
        <w:t xml:space="preserve">lime </w:t>
      </w:r>
      <w:r w:rsidR="001D7806">
        <w:rPr>
          <w:rFonts w:ascii="Times New Roman" w:hAnsi="Times New Roman" w:cs="Times New Roman"/>
          <w:sz w:val="28"/>
          <w:szCs w:val="28"/>
        </w:rPr>
        <w:t xml:space="preserve">at </w:t>
      </w:r>
    </w:p>
    <w:p w14:paraId="06C17437" w14:textId="59256AF9" w:rsidR="00146498" w:rsidRDefault="001D7806" w:rsidP="001D7806">
      <w:pPr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planting or </w:t>
      </w:r>
      <w:proofErr w:type="spellStart"/>
      <w:r w:rsidR="00E05A6D">
        <w:rPr>
          <w:rFonts w:ascii="Times New Roman" w:hAnsi="Times New Roman" w:cs="Times New Roman"/>
          <w:sz w:val="28"/>
          <w:szCs w:val="28"/>
        </w:rPr>
        <w:t>topdress</w:t>
      </w:r>
      <w:proofErr w:type="spellEnd"/>
      <w:r w:rsidR="00E05A6D">
        <w:rPr>
          <w:rFonts w:ascii="Times New Roman" w:hAnsi="Times New Roman" w:cs="Times New Roman"/>
          <w:sz w:val="28"/>
          <w:szCs w:val="28"/>
        </w:rPr>
        <w:t xml:space="preserve"> </w:t>
      </w:r>
      <w:r w:rsidR="0078127A">
        <w:rPr>
          <w:rFonts w:ascii="Times New Roman" w:hAnsi="Times New Roman" w:cs="Times New Roman"/>
          <w:sz w:val="28"/>
          <w:szCs w:val="28"/>
        </w:rPr>
        <w:t xml:space="preserve">fall or winter to raise soil </w:t>
      </w:r>
      <w:r>
        <w:rPr>
          <w:rFonts w:ascii="Times New Roman" w:hAnsi="Times New Roman" w:cs="Times New Roman"/>
          <w:sz w:val="28"/>
          <w:szCs w:val="28"/>
        </w:rPr>
        <w:t>pH</w:t>
      </w:r>
      <w:r w:rsidR="00E05A6D">
        <w:rPr>
          <w:rFonts w:ascii="Times New Roman" w:hAnsi="Times New Roman" w:cs="Times New Roman"/>
          <w:sz w:val="28"/>
          <w:szCs w:val="28"/>
        </w:rPr>
        <w:t xml:space="preserve"> to range.</w:t>
      </w:r>
    </w:p>
    <w:p w14:paraId="2DB2F0B6" w14:textId="77777777" w:rsidR="001D7806" w:rsidRDefault="001D7806" w:rsidP="001D7806">
      <w:pPr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</w:p>
    <w:p w14:paraId="46940499" w14:textId="77777777" w:rsidR="00146498" w:rsidRDefault="00146498" w:rsidP="001464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05A6D">
        <w:rPr>
          <w:rFonts w:ascii="Times New Roman" w:hAnsi="Times New Roman" w:cs="Times New Roman"/>
          <w:sz w:val="28"/>
          <w:szCs w:val="28"/>
          <w:u w:val="single"/>
        </w:rPr>
        <w:t>When to fertilize</w:t>
      </w:r>
      <w:r>
        <w:rPr>
          <w:rFonts w:ascii="Times New Roman" w:hAnsi="Times New Roman" w:cs="Times New Roman"/>
          <w:sz w:val="28"/>
          <w:szCs w:val="28"/>
        </w:rPr>
        <w:t xml:space="preserve">:  every 4 weeks beginning at full bloom (April).  Do not fertilize </w:t>
      </w:r>
    </w:p>
    <w:p w14:paraId="37813846" w14:textId="77777777" w:rsidR="00146498" w:rsidRDefault="00146498" w:rsidP="00146498">
      <w:pPr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after June 15 to avoid delayed dormancy (new growth that does not </w:t>
      </w:r>
    </w:p>
    <w:p w14:paraId="7358B556" w14:textId="74368DE7" w:rsidR="00146498" w:rsidRDefault="00146498" w:rsidP="00146498">
      <w:pPr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“harden off” before cold weather</w:t>
      </w:r>
      <w:r w:rsidR="001D78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319144" w14:textId="77777777" w:rsidR="00146498" w:rsidRDefault="00146498" w:rsidP="0014649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19E9C44" w14:textId="77777777" w:rsidR="00146498" w:rsidRDefault="00146498" w:rsidP="001464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05A6D">
        <w:rPr>
          <w:rFonts w:ascii="Times New Roman" w:hAnsi="Times New Roman" w:cs="Times New Roman"/>
          <w:sz w:val="28"/>
          <w:szCs w:val="28"/>
          <w:u w:val="single"/>
        </w:rPr>
        <w:t>How much to fertilize</w:t>
      </w:r>
      <w:r>
        <w:rPr>
          <w:rFonts w:ascii="Times New Roman" w:hAnsi="Times New Roman" w:cs="Times New Roman"/>
          <w:sz w:val="28"/>
          <w:szCs w:val="28"/>
        </w:rPr>
        <w:t>:</w:t>
      </w:r>
      <w:r w:rsidR="00935EA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CDDD03F" w14:textId="77777777" w:rsidR="0043735B" w:rsidRDefault="00935EA3" w:rsidP="001464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New plantings: </w:t>
      </w:r>
      <w:r w:rsidR="0043735B">
        <w:rPr>
          <w:rFonts w:ascii="Times New Roman" w:hAnsi="Times New Roman" w:cs="Times New Roman"/>
          <w:sz w:val="28"/>
          <w:szCs w:val="28"/>
        </w:rPr>
        <w:t xml:space="preserve">20 lbs. N/acre (0.6 oz. N/plant).  Applications should </w:t>
      </w:r>
    </w:p>
    <w:p w14:paraId="048AB7D0" w14:textId="77777777" w:rsidR="0043735B" w:rsidRDefault="0043735B" w:rsidP="0043735B">
      <w:pPr>
        <w:ind w:left="14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 “split” to avoid overfertilization and ensure uptake.  Apply 0.2 oz. N in April, May, and June.  </w:t>
      </w:r>
      <w:r w:rsidRPr="00383E40">
        <w:rPr>
          <w:rFonts w:ascii="Times New Roman" w:hAnsi="Times New Roman" w:cs="Times New Roman"/>
          <w:sz w:val="28"/>
          <w:szCs w:val="28"/>
          <w:u w:val="single"/>
        </w:rPr>
        <w:t>OR</w:t>
      </w:r>
      <w:r>
        <w:rPr>
          <w:rFonts w:ascii="Times New Roman" w:hAnsi="Times New Roman" w:cs="Times New Roman"/>
          <w:sz w:val="28"/>
          <w:szCs w:val="28"/>
        </w:rPr>
        <w:t xml:space="preserve"> use a single application of slow release fertilizer at bloom.</w:t>
      </w:r>
    </w:p>
    <w:p w14:paraId="58BA5F82" w14:textId="77777777" w:rsidR="0043735B" w:rsidRDefault="0043735B" w:rsidP="0043735B">
      <w:pPr>
        <w:ind w:left="1440"/>
        <w:contextualSpacing/>
        <w:rPr>
          <w:rFonts w:ascii="Times New Roman" w:hAnsi="Times New Roman" w:cs="Times New Roman"/>
          <w:sz w:val="28"/>
          <w:szCs w:val="28"/>
        </w:rPr>
      </w:pPr>
    </w:p>
    <w:p w14:paraId="00EED9DE" w14:textId="77777777" w:rsidR="0043735B" w:rsidRDefault="0043735B" w:rsidP="0043735B">
      <w:pPr>
        <w:ind w:left="14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Remember to calculate the N content of the specific fertilizer </w:t>
      </w:r>
      <w:r w:rsidR="00D06505">
        <w:rPr>
          <w:rFonts w:ascii="Times New Roman" w:hAnsi="Times New Roman" w:cs="Times New Roman"/>
          <w:sz w:val="28"/>
          <w:szCs w:val="28"/>
        </w:rPr>
        <w:t xml:space="preserve">that </w:t>
      </w:r>
      <w:r>
        <w:rPr>
          <w:rFonts w:ascii="Times New Roman" w:hAnsi="Times New Roman" w:cs="Times New Roman"/>
          <w:sz w:val="28"/>
          <w:szCs w:val="28"/>
        </w:rPr>
        <w:t>you’re using.</w:t>
      </w:r>
      <w:r w:rsidR="00D065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505">
        <w:rPr>
          <w:rFonts w:ascii="Times New Roman" w:hAnsi="Times New Roman" w:cs="Times New Roman"/>
          <w:sz w:val="28"/>
          <w:szCs w:val="28"/>
        </w:rPr>
        <w:t>For example, t</w:t>
      </w:r>
      <w:r>
        <w:rPr>
          <w:rFonts w:ascii="Times New Roman" w:hAnsi="Times New Roman" w:cs="Times New Roman"/>
          <w:sz w:val="28"/>
          <w:szCs w:val="28"/>
        </w:rPr>
        <w:t xml:space="preserve">o apply 0.2 oz. N would require about 0.4 oz. urea </w:t>
      </w:r>
      <w:r w:rsidR="00D0650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46-0-0</w:t>
      </w:r>
      <w:r w:rsidR="00D06505">
        <w:rPr>
          <w:rFonts w:ascii="Times New Roman" w:hAnsi="Times New Roman" w:cs="Times New Roman"/>
          <w:sz w:val="28"/>
          <w:szCs w:val="28"/>
        </w:rPr>
        <w:t xml:space="preserve"> analysis).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28D2BE" w14:textId="77777777" w:rsidR="0043735B" w:rsidRDefault="0043735B" w:rsidP="0043735B">
      <w:pPr>
        <w:ind w:left="1440"/>
        <w:contextualSpacing/>
        <w:rPr>
          <w:rFonts w:ascii="Times New Roman" w:hAnsi="Times New Roman" w:cs="Times New Roman"/>
          <w:sz w:val="28"/>
          <w:szCs w:val="28"/>
        </w:rPr>
      </w:pPr>
    </w:p>
    <w:p w14:paraId="4729AC99" w14:textId="77777777" w:rsidR="00D06505" w:rsidRDefault="00D06505" w:rsidP="0043735B">
      <w:pPr>
        <w:ind w:left="14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Established Plantings: </w:t>
      </w:r>
      <w:r w:rsidR="0043735B">
        <w:rPr>
          <w:rFonts w:ascii="Times New Roman" w:hAnsi="Times New Roman" w:cs="Times New Roman"/>
          <w:sz w:val="28"/>
          <w:szCs w:val="28"/>
        </w:rPr>
        <w:t>Increase N fertilizer rates annually until you’re applying 100 lbs. N/acre (3 oz. N/plant) for plants 6-8 years old and older.</w:t>
      </w:r>
    </w:p>
    <w:p w14:paraId="24CF4C44" w14:textId="77777777" w:rsidR="00D06505" w:rsidRDefault="00D06505" w:rsidP="0043735B">
      <w:pPr>
        <w:ind w:left="1440"/>
        <w:contextualSpacing/>
        <w:rPr>
          <w:rFonts w:ascii="Times New Roman" w:hAnsi="Times New Roman" w:cs="Times New Roman"/>
          <w:sz w:val="28"/>
          <w:szCs w:val="28"/>
        </w:rPr>
      </w:pPr>
    </w:p>
    <w:p w14:paraId="3FAD88A5" w14:textId="77777777" w:rsidR="00935EA3" w:rsidRDefault="00D06505" w:rsidP="0043735B">
      <w:pPr>
        <w:ind w:left="14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apply a new sawdust mulch, it will tend to tie up available N.  Increase your N fertilizer rate by 0.6 oz. N/plant to offset this the year that you apply mulch.</w:t>
      </w:r>
      <w:r w:rsidR="0043735B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F6007C4" w14:textId="77777777" w:rsidR="00935EA3" w:rsidRDefault="00935EA3" w:rsidP="0014649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216E4A3" w14:textId="77777777" w:rsidR="00935EA3" w:rsidRDefault="00935EA3" w:rsidP="001464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05A6D">
        <w:rPr>
          <w:rFonts w:ascii="Times New Roman" w:hAnsi="Times New Roman" w:cs="Times New Roman"/>
          <w:sz w:val="28"/>
          <w:szCs w:val="28"/>
          <w:u w:val="single"/>
        </w:rPr>
        <w:t>Converting Per Acre recommendations to individual plants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34E138F" w14:textId="77777777" w:rsidR="00935EA3" w:rsidRDefault="00935EA3" w:rsidP="001464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Literature assumes an industry standard 10-foot row spacing with </w:t>
      </w:r>
    </w:p>
    <w:p w14:paraId="455146B1" w14:textId="77777777" w:rsidR="00D06505" w:rsidRDefault="00935EA3" w:rsidP="00935EA3">
      <w:pPr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plants spaced 2 ½-3 feet.  That equals 1452-1742 plants per acre.</w:t>
      </w:r>
    </w:p>
    <w:p w14:paraId="5A11C3CC" w14:textId="77777777" w:rsidR="00D06505" w:rsidRDefault="00D06505" w:rsidP="00D06505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6915E98" w14:textId="77777777" w:rsidR="00D06505" w:rsidRDefault="00D06505" w:rsidP="00D06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05A6D">
        <w:rPr>
          <w:rFonts w:ascii="Times New Roman" w:hAnsi="Times New Roman" w:cs="Times New Roman"/>
          <w:sz w:val="28"/>
          <w:szCs w:val="28"/>
          <w:u w:val="single"/>
        </w:rPr>
        <w:t>Fertilizer Sources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1E6E63A" w14:textId="7DB7BFEF" w:rsidR="00935EA3" w:rsidRPr="00146498" w:rsidRDefault="00446195" w:rsidP="0078127A">
      <w:pPr>
        <w:ind w:left="14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Avoid Nitrate formulations; blueberries do not utilize them well.  </w:t>
      </w:r>
      <w:r w:rsidR="0078127A">
        <w:rPr>
          <w:rFonts w:ascii="Times New Roman" w:hAnsi="Times New Roman" w:cs="Times New Roman"/>
          <w:sz w:val="28"/>
          <w:szCs w:val="28"/>
        </w:rPr>
        <w:t xml:space="preserve">Urea lowers soil </w:t>
      </w:r>
      <w:r w:rsidR="001D7806">
        <w:rPr>
          <w:rFonts w:ascii="Times New Roman" w:hAnsi="Times New Roman" w:cs="Times New Roman"/>
          <w:sz w:val="28"/>
          <w:szCs w:val="28"/>
        </w:rPr>
        <w:t>p</w:t>
      </w:r>
      <w:r w:rsidR="0078127A">
        <w:rPr>
          <w:rFonts w:ascii="Times New Roman" w:hAnsi="Times New Roman" w:cs="Times New Roman"/>
          <w:sz w:val="28"/>
          <w:szCs w:val="28"/>
        </w:rPr>
        <w:t xml:space="preserve">H </w:t>
      </w:r>
      <w:r>
        <w:rPr>
          <w:rFonts w:ascii="Times New Roman" w:hAnsi="Times New Roman" w:cs="Times New Roman"/>
          <w:sz w:val="28"/>
          <w:szCs w:val="28"/>
        </w:rPr>
        <w:t>less</w:t>
      </w:r>
      <w:r w:rsidR="0078127A">
        <w:rPr>
          <w:rFonts w:ascii="Times New Roman" w:hAnsi="Times New Roman" w:cs="Times New Roman"/>
          <w:sz w:val="28"/>
          <w:szCs w:val="28"/>
        </w:rPr>
        <w:t xml:space="preserve"> than Ammonium Sulfate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E40">
        <w:rPr>
          <w:rFonts w:ascii="Times New Roman" w:hAnsi="Times New Roman" w:cs="Times New Roman"/>
          <w:sz w:val="28"/>
          <w:szCs w:val="28"/>
        </w:rPr>
        <w:t xml:space="preserve">or </w:t>
      </w:r>
      <w:r w:rsidR="0078127A">
        <w:rPr>
          <w:rFonts w:ascii="Times New Roman" w:hAnsi="Times New Roman" w:cs="Times New Roman"/>
          <w:sz w:val="28"/>
          <w:szCs w:val="28"/>
        </w:rPr>
        <w:t>others</w:t>
      </w:r>
      <w:r w:rsidR="00383E40">
        <w:rPr>
          <w:rFonts w:ascii="Times New Roman" w:hAnsi="Times New Roman" w:cs="Times New Roman"/>
          <w:sz w:val="28"/>
          <w:szCs w:val="28"/>
        </w:rPr>
        <w:t xml:space="preserve"> (a potential problem in our area)</w:t>
      </w:r>
      <w:r w:rsidR="0078127A">
        <w:rPr>
          <w:rFonts w:ascii="Times New Roman" w:hAnsi="Times New Roman" w:cs="Times New Roman"/>
          <w:sz w:val="28"/>
          <w:szCs w:val="28"/>
        </w:rPr>
        <w:t xml:space="preserve">.  Organic fertilizers at the </w:t>
      </w:r>
      <w:r w:rsidR="00383E40">
        <w:rPr>
          <w:rFonts w:ascii="Times New Roman" w:hAnsi="Times New Roman" w:cs="Times New Roman"/>
          <w:sz w:val="28"/>
          <w:szCs w:val="28"/>
        </w:rPr>
        <w:t>correct</w:t>
      </w:r>
      <w:r w:rsidR="0078127A">
        <w:rPr>
          <w:rFonts w:ascii="Times New Roman" w:hAnsi="Times New Roman" w:cs="Times New Roman"/>
          <w:sz w:val="28"/>
          <w:szCs w:val="28"/>
        </w:rPr>
        <w:t xml:space="preserve"> rate perform just as </w:t>
      </w:r>
      <w:r w:rsidR="00383E40">
        <w:rPr>
          <w:rFonts w:ascii="Times New Roman" w:hAnsi="Times New Roman" w:cs="Times New Roman"/>
          <w:sz w:val="28"/>
          <w:szCs w:val="28"/>
        </w:rPr>
        <w:t xml:space="preserve">well.  </w:t>
      </w:r>
      <w:r w:rsidR="0078127A">
        <w:rPr>
          <w:rFonts w:ascii="Times New Roman" w:hAnsi="Times New Roman" w:cs="Times New Roman"/>
          <w:sz w:val="28"/>
          <w:szCs w:val="28"/>
        </w:rPr>
        <w:t xml:space="preserve">Rapid soil </w:t>
      </w:r>
      <w:r w:rsidR="00E05A6D">
        <w:rPr>
          <w:rFonts w:ascii="Times New Roman" w:hAnsi="Times New Roman" w:cs="Times New Roman"/>
          <w:sz w:val="28"/>
          <w:szCs w:val="28"/>
        </w:rPr>
        <w:t>p</w:t>
      </w:r>
      <w:r w:rsidR="0078127A">
        <w:rPr>
          <w:rFonts w:ascii="Times New Roman" w:hAnsi="Times New Roman" w:cs="Times New Roman"/>
          <w:sz w:val="28"/>
          <w:szCs w:val="28"/>
        </w:rPr>
        <w:t xml:space="preserve">H </w:t>
      </w:r>
      <w:r w:rsidR="00E05A6D">
        <w:rPr>
          <w:rFonts w:ascii="Times New Roman" w:hAnsi="Times New Roman" w:cs="Times New Roman"/>
          <w:sz w:val="28"/>
          <w:szCs w:val="28"/>
        </w:rPr>
        <w:t>declines</w:t>
      </w:r>
      <w:r w:rsidR="0078127A">
        <w:rPr>
          <w:rFonts w:ascii="Times New Roman" w:hAnsi="Times New Roman" w:cs="Times New Roman"/>
          <w:sz w:val="28"/>
          <w:szCs w:val="28"/>
        </w:rPr>
        <w:t xml:space="preserve"> and reduced yield have been observed with high rates of</w:t>
      </w:r>
      <w:r w:rsidR="00383E40">
        <w:rPr>
          <w:rFonts w:ascii="Times New Roman" w:hAnsi="Times New Roman" w:cs="Times New Roman"/>
          <w:sz w:val="28"/>
          <w:szCs w:val="28"/>
        </w:rPr>
        <w:t xml:space="preserve"> fish emulsion fertilizer.  </w:t>
      </w:r>
      <w:r w:rsidR="0078127A">
        <w:rPr>
          <w:rFonts w:ascii="Times New Roman" w:hAnsi="Times New Roman" w:cs="Times New Roman"/>
          <w:sz w:val="28"/>
          <w:szCs w:val="28"/>
        </w:rPr>
        <w:t xml:space="preserve"> </w:t>
      </w:r>
      <w:r w:rsidR="00935EA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35EA3" w:rsidRPr="00146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Bold ITC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07"/>
    <w:rsid w:val="00025F6A"/>
    <w:rsid w:val="00146498"/>
    <w:rsid w:val="00172E79"/>
    <w:rsid w:val="001D7806"/>
    <w:rsid w:val="00217368"/>
    <w:rsid w:val="002A749D"/>
    <w:rsid w:val="003254A2"/>
    <w:rsid w:val="00383E40"/>
    <w:rsid w:val="00401F5F"/>
    <w:rsid w:val="0043735B"/>
    <w:rsid w:val="00446195"/>
    <w:rsid w:val="0053768C"/>
    <w:rsid w:val="00741B34"/>
    <w:rsid w:val="00775307"/>
    <w:rsid w:val="0077606F"/>
    <w:rsid w:val="0078127A"/>
    <w:rsid w:val="007B7104"/>
    <w:rsid w:val="00800542"/>
    <w:rsid w:val="008858F6"/>
    <w:rsid w:val="008C6595"/>
    <w:rsid w:val="00935EA3"/>
    <w:rsid w:val="00A96BF1"/>
    <w:rsid w:val="00B7569A"/>
    <w:rsid w:val="00D06505"/>
    <w:rsid w:val="00DF30E9"/>
    <w:rsid w:val="00E05A6D"/>
    <w:rsid w:val="00E7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CDD09"/>
  <w15:chartTrackingRefBased/>
  <w15:docId w15:val="{B535BEBE-0BF5-4F1D-851A-0B37F226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5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59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6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72E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oregonstate.edu/media/A+Grower's+Guide+to+Pruning+Highbush+Blueberries/0_05v1qew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talog.extension.oregonstate.edu/dvd2" TargetMode="External"/><Relationship Id="rId12" Type="http://schemas.openxmlformats.org/officeDocument/2006/relationships/hyperlink" Target="http://www.capitalpress.com/Organic/20180103/research-shows-how-organic-blueberries-can-compe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talog.extension.oregonstate.edu/em8918" TargetMode="External"/><Relationship Id="rId11" Type="http://schemas.openxmlformats.org/officeDocument/2006/relationships/hyperlink" Target="http://articles.extension.org/pages/26115/organic-blueberry-production-webinar" TargetMode="External"/><Relationship Id="rId5" Type="http://schemas.openxmlformats.org/officeDocument/2006/relationships/hyperlink" Target="https://catalog.extension.oregonstate.edu/pnw656/html" TargetMode="External"/><Relationship Id="rId10" Type="http://schemas.openxmlformats.org/officeDocument/2006/relationships/hyperlink" Target="https://pnwhandbooks.org/" TargetMode="External"/><Relationship Id="rId4" Type="http://schemas.openxmlformats.org/officeDocument/2006/relationships/hyperlink" Target="https://catalog.extension.oregonstate.edu/ec1304" TargetMode="External"/><Relationship Id="rId9" Type="http://schemas.openxmlformats.org/officeDocument/2006/relationships/hyperlink" Target="http://cru.cahe.wsu.edu/CEPublications/EM066E/EM066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- Civilian</dc:creator>
  <cp:keywords/>
  <dc:description/>
  <cp:lastModifiedBy>Ann Geyer</cp:lastModifiedBy>
  <cp:revision>2</cp:revision>
  <cp:lastPrinted>2018-01-17T06:31:00Z</cp:lastPrinted>
  <dcterms:created xsi:type="dcterms:W3CDTF">2019-10-05T01:02:00Z</dcterms:created>
  <dcterms:modified xsi:type="dcterms:W3CDTF">2019-10-05T01:02:00Z</dcterms:modified>
</cp:coreProperties>
</file>